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overflowPunct w:val="0"/>
        <w:adjustRightInd w:val="0"/>
        <w:snapToGrid w:val="0"/>
        <w:spacing w:line="360" w:lineRule="auto"/>
        <w:ind w:right="521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第四部分  政府性基金预算收支情况说明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宋体"/>
          <w:b/>
          <w:sz w:val="32"/>
          <w:szCs w:val="32"/>
        </w:rPr>
      </w:pPr>
      <w:r>
        <w:rPr>
          <w:rFonts w:hint="eastAsia" w:ascii="仿宋" w:hAnsi="仿宋" w:eastAsia="仿宋" w:cs="宋体"/>
          <w:b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宋体"/>
          <w:b/>
          <w:sz w:val="32"/>
          <w:szCs w:val="32"/>
        </w:rPr>
        <w:t>201</w:t>
      </w:r>
      <w:r>
        <w:rPr>
          <w:rFonts w:hint="eastAsia" w:ascii="仿宋" w:hAnsi="仿宋" w:eastAsia="仿宋" w:cs="宋体"/>
          <w:b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b/>
          <w:sz w:val="32"/>
          <w:szCs w:val="32"/>
        </w:rPr>
        <w:t>年政府性基金收入情况说明</w:t>
      </w:r>
    </w:p>
    <w:p>
      <w:pPr>
        <w:widowControl/>
        <w:autoSpaceDN w:val="0"/>
        <w:spacing w:line="560" w:lineRule="atLeast"/>
        <w:ind w:left="1" w:firstLine="64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基金预算全口径收入安排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28645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万元，比去年完成数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37565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万元减少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8920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万元，原因主要是：201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年上级债券转贷新增专项收入安排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12200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2019年预算上级未下达专项债券资金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。其中：</w:t>
      </w:r>
    </w:p>
    <w:p>
      <w:pPr>
        <w:widowControl/>
        <w:autoSpaceDN w:val="0"/>
        <w:spacing w:line="560" w:lineRule="atLeast"/>
        <w:ind w:firstLine="640" w:firstLineChars="20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（一）地方级预算收入安排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24326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万元，比去年完成数增长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28.5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%，增加收入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5392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万元。主要收入项目是：</w:t>
      </w:r>
    </w:p>
    <w:p>
      <w:pPr>
        <w:widowControl/>
        <w:numPr>
          <w:ilvl w:val="0"/>
          <w:numId w:val="1"/>
        </w:numPr>
        <w:autoSpaceDN w:val="0"/>
        <w:spacing w:line="560" w:lineRule="atLeas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国有土地出让价款收入安排21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524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万元；</w:t>
      </w:r>
    </w:p>
    <w:p>
      <w:pPr>
        <w:widowControl/>
        <w:numPr>
          <w:ilvl w:val="0"/>
          <w:numId w:val="1"/>
        </w:numPr>
        <w:autoSpaceDN w:val="0"/>
        <w:spacing w:line="560" w:lineRule="atLeas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农业土地开发资金收入安排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452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万元；</w:t>
      </w:r>
    </w:p>
    <w:p>
      <w:pPr>
        <w:widowControl/>
        <w:numPr>
          <w:ilvl w:val="0"/>
          <w:numId w:val="0"/>
        </w:numPr>
        <w:autoSpaceDN w:val="0"/>
        <w:spacing w:line="560" w:lineRule="atLeast"/>
        <w:ind w:left="641" w:leftChars="0"/>
        <w:rPr>
          <w:rFonts w:hint="eastAsia" w:ascii="仿宋" w:hAnsi="仿宋" w:eastAsia="仿宋"/>
          <w:color w:val="000000"/>
          <w:kern w:val="0"/>
          <w:sz w:val="32"/>
          <w:szCs w:val="32"/>
          <w:lang w:val="en-US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3、  城市基础设施配套费收入安排550万元；</w:t>
      </w:r>
    </w:p>
    <w:p>
      <w:pPr>
        <w:widowControl/>
        <w:numPr>
          <w:ilvl w:val="0"/>
          <w:numId w:val="1"/>
        </w:numPr>
        <w:autoSpaceDN w:val="0"/>
        <w:spacing w:line="560" w:lineRule="atLeas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污水处理费收入安排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800万元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autoSpaceDN w:val="0"/>
        <w:spacing w:line="560" w:lineRule="atLeast"/>
        <w:ind w:left="1" w:firstLine="64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（二）上级提前告知转移支付补助收入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3523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万元，比去年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决算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补助收入减少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1524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万元。主要是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文化体育传媒收入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万元、大中型水库移民后期扶持24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61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万元、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国有土地使用权出让金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13万元、水利移民扶持专项189万元、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彩票公益金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852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万元。</w:t>
      </w:r>
    </w:p>
    <w:p>
      <w:pPr>
        <w:widowControl/>
        <w:autoSpaceDN w:val="0"/>
        <w:spacing w:line="560" w:lineRule="atLeast"/>
        <w:ind w:left="1" w:firstLine="64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（三）上年结转收入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796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万元。</w:t>
      </w:r>
    </w:p>
    <w:p>
      <w:pPr>
        <w:widowControl/>
        <w:autoSpaceDN w:val="0"/>
        <w:spacing w:line="560" w:lineRule="atLeast"/>
        <w:ind w:left="1" w:firstLine="640"/>
        <w:rPr>
          <w:rFonts w:hint="eastAsia" w:ascii="仿宋" w:hAnsi="仿宋" w:eastAsia="仿宋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kern w:val="0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color w:val="000000"/>
          <w:kern w:val="0"/>
          <w:sz w:val="32"/>
          <w:szCs w:val="32"/>
        </w:rPr>
        <w:t>、20</w:t>
      </w:r>
      <w:r>
        <w:rPr>
          <w:rFonts w:hint="eastAsia" w:ascii="仿宋" w:hAnsi="仿宋" w:eastAsia="仿宋"/>
          <w:b/>
          <w:color w:val="000000"/>
          <w:kern w:val="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b/>
          <w:color w:val="000000"/>
          <w:kern w:val="0"/>
          <w:sz w:val="32"/>
          <w:szCs w:val="32"/>
        </w:rPr>
        <w:t>年政府性基金支出情况说明</w:t>
      </w:r>
    </w:p>
    <w:p>
      <w:pPr>
        <w:widowControl/>
        <w:autoSpaceDN w:val="0"/>
        <w:spacing w:line="560" w:lineRule="atLeast"/>
        <w:ind w:left="1" w:firstLine="624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基金预算支出：按照现行财政体制计算，201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年可供支出的基金预算财力为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28645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万元，其中：当年财政预算收入安排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24326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万元，上级各项补助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3523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万元，上年结转收入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796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万元。主要支出科目是：</w:t>
      </w:r>
    </w:p>
    <w:p>
      <w:pPr>
        <w:widowControl/>
        <w:numPr>
          <w:ilvl w:val="0"/>
          <w:numId w:val="0"/>
        </w:numPr>
        <w:autoSpaceDN w:val="0"/>
        <w:spacing w:line="560" w:lineRule="atLeast"/>
        <w:ind w:left="640" w:leftChars="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文化体育与传媒支出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万元，主要用于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旅游厕所建设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。</w:t>
      </w:r>
    </w:p>
    <w:p>
      <w:pPr>
        <w:widowControl/>
        <w:autoSpaceDN w:val="0"/>
        <w:spacing w:line="560" w:lineRule="atLeast"/>
        <w:ind w:firstLine="640" w:firstLineChars="20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2、社会保障和就业支出246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万元，主要用于大中型水库移民后期扶持。</w:t>
      </w:r>
    </w:p>
    <w:p>
      <w:pPr>
        <w:widowControl/>
        <w:autoSpaceDN w:val="0"/>
        <w:spacing w:line="560" w:lineRule="atLeast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 xml:space="preserve">    3、城乡社区事务支出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20737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万元，主要用于：土地出让征地拆迁补偿、被征地农民、公共租赁住房、农业土地开发、污水处理费等项目。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4、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农林水支出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189万元，主要用于水利移民扶持项目。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其他支出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1352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万元，主要用于：体育事业彩票公益金、城乡医疗救助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、困难群众救助等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。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、债务付息支出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1738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>万元。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7、地方政府专项债务还本支出2160万元。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kern w:val="0"/>
          <w:sz w:val="32"/>
          <w:szCs w:val="32"/>
          <w:lang w:val="en-US" w:eastAsia="zh-CN"/>
        </w:rPr>
        <w:t>三、专项债务限额和余额情况说明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根据《焦作市财政局关于下达201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年政府债务限额的通知》（焦财预【201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】210号）的有关要求，焦作市下达我市的201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年政府专项债务限额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为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4.73</w:t>
      </w:r>
      <w:r>
        <w:rPr>
          <w:rFonts w:hint="eastAsia" w:ascii="仿宋" w:hAnsi="仿宋" w:eastAsia="仿宋"/>
          <w:color w:val="000000"/>
          <w:sz w:val="32"/>
          <w:szCs w:val="32"/>
        </w:rPr>
        <w:t>亿元。截止201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000000"/>
          <w:sz w:val="32"/>
          <w:szCs w:val="32"/>
        </w:rPr>
        <w:t>年末，我市地方政府性专项债务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余额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4.69</w:t>
      </w:r>
      <w:r>
        <w:rPr>
          <w:rFonts w:hint="eastAsia" w:ascii="仿宋" w:hAnsi="仿宋" w:eastAsia="仿宋"/>
          <w:color w:val="000000"/>
          <w:sz w:val="32"/>
          <w:szCs w:val="32"/>
        </w:rPr>
        <w:t>亿元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/>
          <w:color w:val="000000"/>
          <w:sz w:val="32"/>
          <w:szCs w:val="32"/>
        </w:rPr>
        <w:t>地方债务规模严格控制在规定限额之内。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eastAsia="zh-CN"/>
        </w:rPr>
        <w:t>附表一：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 xml:space="preserve"> 2019年政府性基金预算收支总表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附表二：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2019年政府性基金预算收入总表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附表三:  2019年政府性基金预算支出总表</w:t>
      </w:r>
    </w:p>
    <w:p>
      <w:pPr>
        <w:widowControl/>
        <w:autoSpaceDN w:val="0"/>
        <w:spacing w:line="560" w:lineRule="atLeast"/>
        <w:ind w:firstLine="660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附表四：</w:t>
      </w:r>
      <w:r>
        <w:rPr>
          <w:rFonts w:hint="eastAsia" w:ascii="仿宋" w:hAnsi="仿宋" w:eastAsia="仿宋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2019年政府性基金预算转移支付情况表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/>
        <w:jc w:val="both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附表五:  2019年政府性基金专项转移支付项目表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/>
        <w:jc w:val="both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  <w:t>附表六:  2019年专项债务限额和余额情况表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0"/>
        <w:jc w:val="both"/>
        <w:rPr>
          <w:rFonts w:hint="eastAsia" w:ascii="仿宋" w:hAnsi="仿宋" w:eastAsia="仿宋"/>
          <w:color w:val="000000"/>
          <w:kern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roman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01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B132E"/>
    <w:multiLevelType w:val="multilevel"/>
    <w:tmpl w:val="106B132E"/>
    <w:lvl w:ilvl="0" w:tentative="0">
      <w:start w:val="1"/>
      <w:numFmt w:val="decimal"/>
      <w:lvlText w:val="%1、"/>
      <w:lvlJc w:val="left"/>
      <w:pPr>
        <w:ind w:left="1361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1" w:hanging="420"/>
      </w:pPr>
    </w:lvl>
    <w:lvl w:ilvl="2" w:tentative="0">
      <w:start w:val="1"/>
      <w:numFmt w:val="lowerRoman"/>
      <w:lvlText w:val="%3."/>
      <w:lvlJc w:val="right"/>
      <w:pPr>
        <w:ind w:left="1901" w:hanging="420"/>
      </w:pPr>
    </w:lvl>
    <w:lvl w:ilvl="3" w:tentative="0">
      <w:start w:val="1"/>
      <w:numFmt w:val="decimal"/>
      <w:lvlText w:val="%4."/>
      <w:lvlJc w:val="left"/>
      <w:pPr>
        <w:ind w:left="2321" w:hanging="420"/>
      </w:pPr>
    </w:lvl>
    <w:lvl w:ilvl="4" w:tentative="0">
      <w:start w:val="1"/>
      <w:numFmt w:val="lowerLetter"/>
      <w:lvlText w:val="%5)"/>
      <w:lvlJc w:val="left"/>
      <w:pPr>
        <w:ind w:left="2741" w:hanging="420"/>
      </w:pPr>
    </w:lvl>
    <w:lvl w:ilvl="5" w:tentative="0">
      <w:start w:val="1"/>
      <w:numFmt w:val="lowerRoman"/>
      <w:lvlText w:val="%6."/>
      <w:lvlJc w:val="right"/>
      <w:pPr>
        <w:ind w:left="3161" w:hanging="420"/>
      </w:pPr>
    </w:lvl>
    <w:lvl w:ilvl="6" w:tentative="0">
      <w:start w:val="1"/>
      <w:numFmt w:val="decimal"/>
      <w:lvlText w:val="%7."/>
      <w:lvlJc w:val="left"/>
      <w:pPr>
        <w:ind w:left="3581" w:hanging="420"/>
      </w:pPr>
    </w:lvl>
    <w:lvl w:ilvl="7" w:tentative="0">
      <w:start w:val="1"/>
      <w:numFmt w:val="lowerLetter"/>
      <w:lvlText w:val="%8)"/>
      <w:lvlJc w:val="left"/>
      <w:pPr>
        <w:ind w:left="4001" w:hanging="420"/>
      </w:pPr>
    </w:lvl>
    <w:lvl w:ilvl="8" w:tentative="0">
      <w:start w:val="1"/>
      <w:numFmt w:val="lowerRoman"/>
      <w:lvlText w:val="%9."/>
      <w:lvlJc w:val="right"/>
      <w:pPr>
        <w:ind w:left="442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B77B3"/>
    <w:rsid w:val="00B62366"/>
    <w:rsid w:val="08DE7394"/>
    <w:rsid w:val="276D2151"/>
    <w:rsid w:val="299415C9"/>
    <w:rsid w:val="2B4F31E0"/>
    <w:rsid w:val="30B022FF"/>
    <w:rsid w:val="3DA547CD"/>
    <w:rsid w:val="3F025DBB"/>
    <w:rsid w:val="45E17812"/>
    <w:rsid w:val="4CFA12EC"/>
    <w:rsid w:val="55A35DA8"/>
    <w:rsid w:val="5E3B77B3"/>
    <w:rsid w:val="5E7F7F8C"/>
    <w:rsid w:val="6909790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2018-10-14T13:16:00Z</dcterms:created>
  <dc:creator>User</dc:creator>
  <cp:lastModifiedBy>Administrator</cp:lastModifiedBy>
  <dcterms:modified xsi:type="dcterms:W3CDTF">2019-02-28T01:50:57Z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